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EC" w:rsidRPr="006A27CB" w:rsidRDefault="005014EC" w:rsidP="005014EC">
      <w:pPr>
        <w:rPr>
          <w:rFonts w:ascii="Arial" w:hAnsi="Arial" w:cs="Arial"/>
          <w:i/>
        </w:rPr>
      </w:pPr>
    </w:p>
    <w:p w:rsidR="005014EC" w:rsidRPr="005014EC" w:rsidRDefault="005014EC" w:rsidP="005014EC">
      <w:pPr>
        <w:jc w:val="center"/>
        <w:rPr>
          <w:rFonts w:ascii="Arial" w:hAnsi="Arial" w:cs="Arial"/>
          <w:b/>
          <w:bCs/>
          <w:sz w:val="32"/>
          <w:szCs w:val="32"/>
        </w:rPr>
      </w:pPr>
      <w:r w:rsidRPr="005014EC">
        <w:rPr>
          <w:rFonts w:ascii="Arial" w:hAnsi="Arial" w:cs="Arial"/>
          <w:b/>
          <w:bCs/>
          <w:sz w:val="32"/>
          <w:szCs w:val="32"/>
        </w:rPr>
        <w:t>DESFORD PARISH NEIGHBOURHOOD PLAN</w:t>
      </w:r>
    </w:p>
    <w:p w:rsidR="005014EC" w:rsidRPr="005014EC" w:rsidRDefault="005014EC" w:rsidP="005014EC">
      <w:pPr>
        <w:jc w:val="center"/>
        <w:rPr>
          <w:rFonts w:ascii="Arial" w:hAnsi="Arial" w:cs="Arial"/>
          <w:b/>
          <w:bCs/>
          <w:sz w:val="32"/>
          <w:szCs w:val="32"/>
        </w:rPr>
      </w:pPr>
    </w:p>
    <w:p w:rsidR="005014EC" w:rsidRPr="005014EC" w:rsidRDefault="005014EC" w:rsidP="005014EC">
      <w:pPr>
        <w:jc w:val="center"/>
        <w:rPr>
          <w:rFonts w:ascii="Arial" w:hAnsi="Arial" w:cs="Arial"/>
          <w:b/>
          <w:bCs/>
          <w:sz w:val="32"/>
          <w:szCs w:val="32"/>
        </w:rPr>
      </w:pPr>
      <w:r w:rsidRPr="005014EC">
        <w:rPr>
          <w:rFonts w:ascii="Arial" w:hAnsi="Arial" w:cs="Arial"/>
          <w:b/>
          <w:bCs/>
          <w:sz w:val="32"/>
          <w:szCs w:val="32"/>
        </w:rPr>
        <w:t>SUPPLEMENTARY</w:t>
      </w:r>
      <w:r w:rsidR="00775169">
        <w:rPr>
          <w:rFonts w:ascii="Arial" w:hAnsi="Arial" w:cs="Arial"/>
          <w:b/>
          <w:bCs/>
          <w:sz w:val="32"/>
          <w:szCs w:val="32"/>
        </w:rPr>
        <w:t xml:space="preserve"> STRATEGIC SITE ASSESSMENT</w:t>
      </w:r>
      <w:r w:rsidRPr="005014EC">
        <w:rPr>
          <w:rFonts w:ascii="Arial" w:hAnsi="Arial" w:cs="Arial"/>
          <w:b/>
          <w:bCs/>
          <w:sz w:val="32"/>
          <w:szCs w:val="32"/>
        </w:rPr>
        <w:t xml:space="preserve"> CONSULTATION</w:t>
      </w:r>
    </w:p>
    <w:p w:rsidR="005014EC" w:rsidRPr="005014EC" w:rsidRDefault="005014EC" w:rsidP="005014EC">
      <w:pPr>
        <w:jc w:val="center"/>
        <w:rPr>
          <w:rFonts w:ascii="Arial" w:hAnsi="Arial" w:cs="Arial"/>
          <w:b/>
          <w:bCs/>
          <w:sz w:val="32"/>
          <w:szCs w:val="32"/>
        </w:rPr>
      </w:pPr>
    </w:p>
    <w:p w:rsidR="005014EC" w:rsidRPr="005014EC" w:rsidRDefault="005014EC" w:rsidP="005014EC">
      <w:pPr>
        <w:rPr>
          <w:rFonts w:ascii="Arial" w:hAnsi="Arial" w:cs="Arial"/>
        </w:rPr>
      </w:pPr>
      <w:r w:rsidRPr="005014EC">
        <w:rPr>
          <w:rFonts w:ascii="Arial" w:hAnsi="Arial" w:cs="Arial"/>
        </w:rPr>
        <w:t>The Parish Council consulted parishioners on its first draft of the Neighbourhood Plan during December and January 2018/2019. The draft included all the sites assessed as possible housing sites in the parish and recommended the allocation of one major site.</w:t>
      </w:r>
    </w:p>
    <w:p w:rsidR="005014EC" w:rsidRPr="005014EC" w:rsidRDefault="005014EC" w:rsidP="005014EC">
      <w:pPr>
        <w:rPr>
          <w:rFonts w:ascii="Arial" w:hAnsi="Arial" w:cs="Arial"/>
        </w:rPr>
      </w:pPr>
    </w:p>
    <w:p w:rsidR="005014EC" w:rsidRPr="005014EC" w:rsidRDefault="005014EC" w:rsidP="005014EC">
      <w:pPr>
        <w:rPr>
          <w:rFonts w:ascii="Arial" w:hAnsi="Arial" w:cs="Arial"/>
        </w:rPr>
      </w:pPr>
      <w:r w:rsidRPr="005014EC">
        <w:rPr>
          <w:rFonts w:ascii="Arial" w:hAnsi="Arial" w:cs="Arial"/>
        </w:rPr>
        <w:t>Responses to this consultation and discussions with Hinckley and Bosworth Borough Council’s Planning Department have resulted in the need to assess and consult on 7 further sites.  This does not mean that all or any of them will be allocated in the plan. Indeed, any views received in response to this consultation will help the Council to decide which, if any, should go forward.</w:t>
      </w:r>
    </w:p>
    <w:p w:rsidR="005014EC" w:rsidRPr="005014EC" w:rsidRDefault="005014EC" w:rsidP="005014EC">
      <w:pPr>
        <w:rPr>
          <w:rFonts w:ascii="Arial" w:hAnsi="Arial" w:cs="Arial"/>
        </w:rPr>
      </w:pPr>
    </w:p>
    <w:p w:rsidR="005014EC" w:rsidRPr="005014EC" w:rsidRDefault="005014EC" w:rsidP="005014EC">
      <w:pPr>
        <w:rPr>
          <w:rFonts w:ascii="Arial" w:hAnsi="Arial" w:cs="Arial"/>
        </w:rPr>
      </w:pPr>
      <w:r w:rsidRPr="005014EC">
        <w:rPr>
          <w:rFonts w:ascii="Arial" w:hAnsi="Arial" w:cs="Arial"/>
        </w:rPr>
        <w:t>The sites are:</w:t>
      </w:r>
    </w:p>
    <w:p w:rsidR="005014EC" w:rsidRPr="005014EC" w:rsidRDefault="005014EC" w:rsidP="005014EC">
      <w:pPr>
        <w:rPr>
          <w:rFonts w:ascii="Arial" w:hAnsi="Arial" w:cs="Arial"/>
        </w:rPr>
      </w:pPr>
      <w:r w:rsidRPr="005014EC">
        <w:rPr>
          <w:rFonts w:ascii="Arial" w:hAnsi="Arial" w:cs="Arial"/>
        </w:rPr>
        <w:t>Snowdene and land to the rear, Main Street, Botcheston</w:t>
      </w:r>
    </w:p>
    <w:p w:rsidR="005014EC" w:rsidRPr="005014EC" w:rsidRDefault="005014EC" w:rsidP="005014EC">
      <w:pPr>
        <w:rPr>
          <w:rFonts w:ascii="Arial" w:hAnsi="Arial" w:cs="Arial"/>
        </w:rPr>
      </w:pPr>
      <w:r w:rsidRPr="005014EC">
        <w:rPr>
          <w:rFonts w:ascii="Arial" w:hAnsi="Arial" w:cs="Arial"/>
        </w:rPr>
        <w:t>Land to the rear of Manor Farm, Main Street, Botcheston</w:t>
      </w:r>
    </w:p>
    <w:p w:rsidR="005014EC" w:rsidRPr="005014EC" w:rsidRDefault="005014EC" w:rsidP="005014EC">
      <w:pPr>
        <w:rPr>
          <w:rFonts w:ascii="Arial" w:hAnsi="Arial" w:cs="Arial"/>
        </w:rPr>
      </w:pPr>
      <w:r w:rsidRPr="005014EC">
        <w:rPr>
          <w:rFonts w:ascii="Arial" w:hAnsi="Arial" w:cs="Arial"/>
        </w:rPr>
        <w:t>Land at disused Sewage Works, Lindridge Lane, Desford</w:t>
      </w:r>
    </w:p>
    <w:p w:rsidR="005014EC" w:rsidRPr="005014EC" w:rsidRDefault="005014EC" w:rsidP="005014EC">
      <w:pPr>
        <w:rPr>
          <w:rFonts w:ascii="Arial" w:hAnsi="Arial" w:cs="Arial"/>
        </w:rPr>
      </w:pPr>
      <w:r w:rsidRPr="005014EC">
        <w:rPr>
          <w:rFonts w:ascii="Arial" w:hAnsi="Arial" w:cs="Arial"/>
        </w:rPr>
        <w:t>Land adjacent to Lyndale Cattery, Desford</w:t>
      </w:r>
    </w:p>
    <w:p w:rsidR="005014EC" w:rsidRPr="005014EC" w:rsidRDefault="005014EC" w:rsidP="005014EC">
      <w:pPr>
        <w:rPr>
          <w:rFonts w:ascii="Arial" w:hAnsi="Arial" w:cs="Arial"/>
        </w:rPr>
      </w:pPr>
      <w:r w:rsidRPr="005014EC">
        <w:rPr>
          <w:rFonts w:ascii="Arial" w:hAnsi="Arial" w:cs="Arial"/>
        </w:rPr>
        <w:t>Hunts Lane extension, Desford</w:t>
      </w:r>
    </w:p>
    <w:p w:rsidR="005014EC" w:rsidRPr="005014EC" w:rsidRDefault="005014EC" w:rsidP="005014EC">
      <w:pPr>
        <w:rPr>
          <w:rFonts w:ascii="Arial" w:hAnsi="Arial" w:cs="Arial"/>
        </w:rPr>
      </w:pPr>
      <w:r w:rsidRPr="005014EC">
        <w:rPr>
          <w:rFonts w:ascii="Arial" w:hAnsi="Arial" w:cs="Arial"/>
        </w:rPr>
        <w:t>Land to the South of Desford, to the East of Peckleton Lane</w:t>
      </w:r>
    </w:p>
    <w:p w:rsidR="005014EC" w:rsidRPr="005014EC" w:rsidRDefault="005014EC" w:rsidP="005014EC">
      <w:pPr>
        <w:rPr>
          <w:rFonts w:ascii="Arial" w:hAnsi="Arial" w:cs="Arial"/>
        </w:rPr>
      </w:pPr>
      <w:r w:rsidRPr="005014EC">
        <w:rPr>
          <w:rFonts w:ascii="Arial" w:hAnsi="Arial" w:cs="Arial"/>
        </w:rPr>
        <w:t>Land to the South of Desford, extension of above to the West of Peckleton Lane</w:t>
      </w:r>
    </w:p>
    <w:p w:rsidR="005014EC" w:rsidRPr="005014EC" w:rsidRDefault="005014EC" w:rsidP="005014EC">
      <w:pPr>
        <w:rPr>
          <w:rFonts w:ascii="Arial" w:hAnsi="Arial" w:cs="Arial"/>
        </w:rPr>
      </w:pPr>
    </w:p>
    <w:p w:rsidR="005014EC" w:rsidRPr="005014EC" w:rsidRDefault="005014EC" w:rsidP="005014EC">
      <w:pPr>
        <w:rPr>
          <w:rFonts w:ascii="Arial" w:hAnsi="Arial" w:cs="Arial"/>
        </w:rPr>
      </w:pPr>
      <w:r w:rsidRPr="005014EC">
        <w:rPr>
          <w:rFonts w:ascii="Arial" w:hAnsi="Arial" w:cs="Arial"/>
        </w:rPr>
        <w:t>Full details of the sites can be seen on the Parish Council’s Webs</w:t>
      </w:r>
      <w:r w:rsidR="00F6596E">
        <w:rPr>
          <w:rFonts w:ascii="Arial" w:hAnsi="Arial" w:cs="Arial"/>
        </w:rPr>
        <w:t>ite, the Neighbourhood Plan site</w:t>
      </w:r>
      <w:r w:rsidRPr="005014EC">
        <w:rPr>
          <w:rFonts w:ascii="Arial" w:hAnsi="Arial" w:cs="Arial"/>
        </w:rPr>
        <w:t>. The addresses/links are as follows:</w:t>
      </w:r>
    </w:p>
    <w:p w:rsidR="005014EC" w:rsidRPr="005014EC" w:rsidRDefault="005014EC" w:rsidP="005014EC">
      <w:pPr>
        <w:rPr>
          <w:rFonts w:ascii="Arial" w:hAnsi="Arial" w:cs="Arial"/>
        </w:rPr>
      </w:pPr>
      <w:r w:rsidRPr="005014EC">
        <w:rPr>
          <w:rFonts w:ascii="Arial" w:hAnsi="Arial" w:cs="Arial"/>
        </w:rPr>
        <w:t>Desford Parish Council</w:t>
      </w:r>
      <w:r w:rsidRPr="005014EC">
        <w:rPr>
          <w:rFonts w:ascii="Arial" w:hAnsi="Arial" w:cs="Arial"/>
          <w:color w:val="0070C0"/>
        </w:rPr>
        <w:t>:</w:t>
      </w:r>
      <w:r>
        <w:rPr>
          <w:rFonts w:ascii="Arial" w:hAnsi="Arial" w:cs="Arial"/>
          <w:color w:val="0070C0"/>
        </w:rPr>
        <w:tab/>
      </w:r>
      <w:hyperlink r:id="rId7">
        <w:r w:rsidRPr="005014EC">
          <w:rPr>
            <w:rStyle w:val="InternetLink"/>
            <w:rFonts w:ascii="Arial" w:hAnsi="Arial" w:cs="Arial"/>
            <w:color w:val="auto"/>
          </w:rPr>
          <w:t>www.desfordparishcouncil.co.uk</w:t>
        </w:r>
      </w:hyperlink>
    </w:p>
    <w:p w:rsidR="005014EC" w:rsidRPr="005014EC" w:rsidRDefault="005014EC" w:rsidP="005014EC">
      <w:pPr>
        <w:rPr>
          <w:rFonts w:ascii="Arial" w:hAnsi="Arial" w:cs="Arial"/>
        </w:rPr>
      </w:pPr>
      <w:r w:rsidRPr="005014EC">
        <w:rPr>
          <w:rFonts w:ascii="Arial" w:hAnsi="Arial" w:cs="Arial"/>
        </w:rPr>
        <w:t>Neighbourhood Plan site:</w:t>
      </w:r>
      <w:r>
        <w:rPr>
          <w:rFonts w:ascii="Arial" w:hAnsi="Arial" w:cs="Arial"/>
        </w:rPr>
        <w:tab/>
      </w:r>
      <w:hyperlink r:id="rId8">
        <w:r w:rsidRPr="005014EC">
          <w:rPr>
            <w:rStyle w:val="InternetLink"/>
            <w:rFonts w:ascii="Arial" w:hAnsi="Arial" w:cs="Arial"/>
            <w:color w:val="auto"/>
          </w:rPr>
          <w:t>www.desfordvision.co.uk</w:t>
        </w:r>
      </w:hyperlink>
    </w:p>
    <w:p w:rsidR="005014EC" w:rsidRPr="005014EC" w:rsidRDefault="005014EC" w:rsidP="005014EC">
      <w:pPr>
        <w:rPr>
          <w:rFonts w:ascii="Arial" w:hAnsi="Arial" w:cs="Arial"/>
        </w:rPr>
      </w:pPr>
    </w:p>
    <w:p w:rsidR="005014EC" w:rsidRPr="005014EC" w:rsidRDefault="005014EC" w:rsidP="005014EC">
      <w:pPr>
        <w:rPr>
          <w:rFonts w:ascii="Arial" w:hAnsi="Arial" w:cs="Arial"/>
        </w:rPr>
      </w:pPr>
      <w:r w:rsidRPr="005014EC">
        <w:rPr>
          <w:rFonts w:ascii="Arial" w:hAnsi="Arial" w:cs="Arial"/>
        </w:rPr>
        <w:t>Hard copies can be inspected at the Library</w:t>
      </w:r>
      <w:r>
        <w:rPr>
          <w:rFonts w:ascii="Arial" w:hAnsi="Arial" w:cs="Arial"/>
        </w:rPr>
        <w:t>,</w:t>
      </w:r>
      <w:r>
        <w:rPr>
          <w:rFonts w:ascii="Arial" w:hAnsi="Arial" w:cs="Arial"/>
        </w:rPr>
        <w:tab/>
      </w:r>
      <w:r w:rsidRPr="005014EC">
        <w:rPr>
          <w:rFonts w:ascii="Arial" w:hAnsi="Arial" w:cs="Arial"/>
        </w:rPr>
        <w:t xml:space="preserve">Mon 2 – 5, Tues 10 – 12,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14EC">
        <w:rPr>
          <w:rFonts w:ascii="Arial" w:hAnsi="Arial" w:cs="Arial"/>
        </w:rPr>
        <w:t>Thurs 10 – 12, 2 – 7, Sat 10 – 1.</w:t>
      </w:r>
    </w:p>
    <w:p w:rsidR="005014EC" w:rsidRPr="005014EC" w:rsidRDefault="005014EC" w:rsidP="005014EC">
      <w:pPr>
        <w:rPr>
          <w:rFonts w:ascii="Arial" w:hAnsi="Arial" w:cs="Arial"/>
        </w:rPr>
      </w:pPr>
    </w:p>
    <w:p w:rsidR="005014EC" w:rsidRPr="005014EC" w:rsidRDefault="005014EC" w:rsidP="005014EC">
      <w:pPr>
        <w:rPr>
          <w:rFonts w:ascii="Arial" w:hAnsi="Arial" w:cs="Arial"/>
          <w:b/>
        </w:rPr>
      </w:pPr>
      <w:r w:rsidRPr="005014EC">
        <w:rPr>
          <w:rFonts w:ascii="Arial" w:hAnsi="Arial" w:cs="Arial"/>
        </w:rPr>
        <w:t>The consultation period starts on Friday 12</w:t>
      </w:r>
      <w:r w:rsidRPr="005014EC">
        <w:rPr>
          <w:rFonts w:ascii="Arial" w:hAnsi="Arial" w:cs="Arial"/>
          <w:vertAlign w:val="superscript"/>
        </w:rPr>
        <w:t>th</w:t>
      </w:r>
      <w:r w:rsidRPr="005014EC">
        <w:rPr>
          <w:rFonts w:ascii="Arial" w:hAnsi="Arial" w:cs="Arial"/>
        </w:rPr>
        <w:t xml:space="preserve"> April and ends on </w:t>
      </w:r>
      <w:r w:rsidRPr="005014EC">
        <w:rPr>
          <w:rFonts w:ascii="Arial" w:hAnsi="Arial" w:cs="Arial"/>
          <w:bCs/>
        </w:rPr>
        <w:t>23rd M</w:t>
      </w:r>
      <w:r>
        <w:rPr>
          <w:rFonts w:ascii="Arial" w:hAnsi="Arial" w:cs="Arial"/>
          <w:bCs/>
        </w:rPr>
        <w:t>ay</w:t>
      </w:r>
      <w:r w:rsidRPr="005014EC">
        <w:rPr>
          <w:rFonts w:ascii="Arial" w:hAnsi="Arial" w:cs="Arial"/>
          <w:bCs/>
        </w:rPr>
        <w:t xml:space="preserve"> 2019</w:t>
      </w:r>
      <w:r w:rsidRPr="005014EC">
        <w:rPr>
          <w:rFonts w:ascii="Arial" w:hAnsi="Arial" w:cs="Arial"/>
          <w:b/>
          <w:bCs/>
        </w:rPr>
        <w:t xml:space="preserve">. </w:t>
      </w:r>
      <w:r w:rsidRPr="005014EC">
        <w:rPr>
          <w:rFonts w:ascii="Arial" w:hAnsi="Arial" w:cs="Arial"/>
        </w:rPr>
        <w:t xml:space="preserve">Responses in writing or by email to the Clerk to the Council as above by </w:t>
      </w:r>
      <w:r>
        <w:rPr>
          <w:rFonts w:ascii="Arial" w:hAnsi="Arial" w:cs="Arial"/>
          <w:b/>
        </w:rPr>
        <w:t>23rd May 2019</w:t>
      </w:r>
    </w:p>
    <w:p w:rsidR="00C67DD9" w:rsidRDefault="00C67DD9" w:rsidP="00E967D9">
      <w:pPr>
        <w:rPr>
          <w:rFonts w:ascii="Arial" w:hAnsi="Arial" w:cs="Arial"/>
        </w:rPr>
      </w:pPr>
    </w:p>
    <w:sectPr w:rsidR="00C67DD9" w:rsidSect="00E967D9">
      <w:headerReference w:type="default" r:id="rId9"/>
      <w:pgSz w:w="11906" w:h="16838" w:code="9"/>
      <w:pgMar w:top="1134" w:right="1134" w:bottom="1134" w:left="1134"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0D" w:rsidRDefault="00E6060D">
      <w:r>
        <w:separator/>
      </w:r>
    </w:p>
  </w:endnote>
  <w:endnote w:type="continuationSeparator" w:id="1">
    <w:p w:rsidR="00E6060D" w:rsidRDefault="00E60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0D" w:rsidRDefault="00E6060D">
      <w:r>
        <w:separator/>
      </w:r>
    </w:p>
  </w:footnote>
  <w:footnote w:type="continuationSeparator" w:id="1">
    <w:p w:rsidR="00E6060D" w:rsidRDefault="00E60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FF" w:rsidRDefault="00C50C23" w:rsidP="00C95C2A">
    <w:pPr>
      <w:pStyle w:val="Header"/>
      <w:ind w:firstLine="2160"/>
      <w:rPr>
        <w:rFonts w:ascii="Comic Sans MS" w:hAnsi="Comic Sans MS"/>
        <w:b/>
        <w:sz w:val="36"/>
        <w:szCs w:val="36"/>
      </w:rPr>
    </w:pPr>
    <w:r>
      <w:rPr>
        <w:rFonts w:ascii="Comic Sans MS" w:hAnsi="Comic Sans MS"/>
        <w:b/>
        <w:noProof/>
        <w:sz w:val="36"/>
        <w:szCs w:val="36"/>
      </w:rPr>
      <w:drawing>
        <wp:anchor distT="0" distB="0" distL="114300" distR="114300" simplePos="0" relativeHeight="251657728" behindDoc="1" locked="0" layoutInCell="1" allowOverlap="1">
          <wp:simplePos x="0" y="0"/>
          <wp:positionH relativeFrom="column">
            <wp:posOffset>451485</wp:posOffset>
          </wp:positionH>
          <wp:positionV relativeFrom="paragraph">
            <wp:posOffset>-316230</wp:posOffset>
          </wp:positionV>
          <wp:extent cx="5158740" cy="1571625"/>
          <wp:effectExtent l="19050" t="0" r="3810" b="0"/>
          <wp:wrapNone/>
          <wp:docPr id="2" name="Picture 1" descr="C:\Users\Dougie7\AppData\Local\Temp\Desford PC letter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ie7\AppData\Local\Temp\Desford PC letter heading.jpg"/>
                  <pic:cNvPicPr>
                    <a:picLocks noChangeAspect="1" noChangeArrowheads="1"/>
                  </pic:cNvPicPr>
                </pic:nvPicPr>
                <pic:blipFill>
                  <a:blip r:embed="rId1">
                    <a:grayscl/>
                  </a:blip>
                  <a:srcRect/>
                  <a:stretch>
                    <a:fillRect/>
                  </a:stretch>
                </pic:blipFill>
                <pic:spPr bwMode="auto">
                  <a:xfrm>
                    <a:off x="0" y="0"/>
                    <a:ext cx="5158740" cy="1571625"/>
                  </a:xfrm>
                  <a:prstGeom prst="rect">
                    <a:avLst/>
                  </a:prstGeom>
                  <a:noFill/>
                  <a:ln w="9525">
                    <a:noFill/>
                    <a:miter lim="800000"/>
                    <a:headEnd/>
                    <a:tailEnd/>
                  </a:ln>
                </pic:spPr>
              </pic:pic>
            </a:graphicData>
          </a:graphic>
        </wp:anchor>
      </w:drawing>
    </w:r>
  </w:p>
  <w:p w:rsidR="008118FF" w:rsidRDefault="008118FF" w:rsidP="00C95C2A">
    <w:pPr>
      <w:pStyle w:val="Header"/>
      <w:jc w:val="center"/>
      <w:rPr>
        <w:rFonts w:ascii="Tahoma" w:hAnsi="Tahoma" w:cs="Tahoma"/>
      </w:rPr>
    </w:pPr>
  </w:p>
  <w:p w:rsidR="008118FF" w:rsidRDefault="008118FF" w:rsidP="00C95C2A">
    <w:pPr>
      <w:pStyle w:val="Header"/>
      <w:jc w:val="center"/>
      <w:rPr>
        <w:rFonts w:ascii="Tahoma" w:hAnsi="Tahoma" w:cs="Tahoma"/>
      </w:rPr>
    </w:pPr>
  </w:p>
  <w:p w:rsidR="008118FF" w:rsidRDefault="008118FF" w:rsidP="00C95C2A">
    <w:pPr>
      <w:pStyle w:val="Header"/>
      <w:jc w:val="center"/>
      <w:rPr>
        <w:rFonts w:ascii="Tahoma" w:hAnsi="Tahoma" w:cs="Tahoma"/>
        <w:color w:val="7F7F7F"/>
      </w:rPr>
    </w:pPr>
  </w:p>
  <w:p w:rsidR="008118FF" w:rsidRDefault="008118FF" w:rsidP="00C95C2A">
    <w:pPr>
      <w:pStyle w:val="Header"/>
      <w:jc w:val="center"/>
      <w:rPr>
        <w:rFonts w:ascii="Tahoma" w:hAnsi="Tahoma" w:cs="Tahoma"/>
        <w:color w:val="7F7F7F"/>
      </w:rPr>
    </w:pPr>
  </w:p>
  <w:p w:rsidR="008118FF" w:rsidRDefault="008118FF" w:rsidP="00C95C2A">
    <w:pPr>
      <w:pStyle w:val="Header"/>
      <w:jc w:val="center"/>
      <w:rPr>
        <w:rFonts w:ascii="Tahoma" w:hAnsi="Tahoma" w:cs="Tahoma"/>
        <w:color w:val="7F7F7F"/>
      </w:rPr>
    </w:pPr>
  </w:p>
  <w:p w:rsidR="008118FF" w:rsidRPr="00C95C2A" w:rsidRDefault="008118FF" w:rsidP="00C95C2A">
    <w:pPr>
      <w:pStyle w:val="Header"/>
      <w:jc w:val="center"/>
      <w:rPr>
        <w:rFonts w:ascii="Tahoma" w:hAnsi="Tahoma" w:cs="Tahoma"/>
        <w:color w:val="7F7F7F"/>
        <w:sz w:val="22"/>
        <w:szCs w:val="22"/>
      </w:rPr>
    </w:pPr>
    <w:r w:rsidRPr="00C95C2A">
      <w:rPr>
        <w:rFonts w:ascii="Tahoma" w:hAnsi="Tahoma" w:cs="Tahoma"/>
        <w:color w:val="7F7F7F"/>
        <w:sz w:val="22"/>
        <w:szCs w:val="22"/>
      </w:rPr>
      <w:t>Parish Council Offices, c/o Desford Library, Main Street, Desford, Leicestershire. LE9 9JP</w:t>
    </w:r>
  </w:p>
  <w:p w:rsidR="008118FF" w:rsidRPr="00C95C2A" w:rsidRDefault="008118FF" w:rsidP="00C95C2A">
    <w:pPr>
      <w:pStyle w:val="Header"/>
      <w:rPr>
        <w:rFonts w:ascii="Tahoma" w:hAnsi="Tahoma" w:cs="Tahoma"/>
        <w:color w:val="A6A6A6"/>
        <w:sz w:val="22"/>
        <w:szCs w:val="22"/>
      </w:rPr>
    </w:pPr>
    <w:r>
      <w:rPr>
        <w:rFonts w:ascii="Comic Sans MS" w:hAnsi="Comic Sans MS"/>
        <w:b/>
        <w:color w:val="A6A6A6"/>
      </w:rPr>
      <w:tab/>
    </w:r>
    <w:r w:rsidR="00B44F3B">
      <w:rPr>
        <w:rFonts w:ascii="Comic Sans MS" w:hAnsi="Comic Sans MS"/>
        <w:b/>
        <w:color w:val="A6A6A6"/>
        <w:sz w:val="22"/>
        <w:szCs w:val="22"/>
      </w:rPr>
      <w:t>TEL: 01455 822993</w:t>
    </w:r>
    <w:r w:rsidRPr="00C95C2A">
      <w:rPr>
        <w:rFonts w:ascii="Comic Sans MS" w:hAnsi="Comic Sans MS"/>
        <w:b/>
        <w:color w:val="A6A6A6"/>
        <w:sz w:val="22"/>
        <w:szCs w:val="22"/>
      </w:rPr>
      <w:t xml:space="preserve"> </w:t>
    </w:r>
  </w:p>
  <w:p w:rsidR="008118FF" w:rsidRPr="00C95C2A" w:rsidRDefault="008118FF" w:rsidP="00F06AB5">
    <w:pPr>
      <w:pStyle w:val="Header"/>
      <w:rPr>
        <w:rFonts w:ascii="Tahoma" w:hAnsi="Tahoma" w:cs="Tahoma"/>
        <w:color w:val="A6A6A6"/>
        <w:sz w:val="22"/>
        <w:szCs w:val="22"/>
      </w:rPr>
    </w:pPr>
    <w:r w:rsidRPr="00C95C2A">
      <w:rPr>
        <w:rFonts w:ascii="Tahoma" w:hAnsi="Tahoma" w:cs="Tahoma"/>
        <w:color w:val="A6A6A6"/>
        <w:sz w:val="22"/>
        <w:szCs w:val="22"/>
      </w:rPr>
      <w:tab/>
    </w:r>
    <w:r w:rsidRPr="00C95C2A">
      <w:rPr>
        <w:rFonts w:ascii="Comic Sans MS" w:hAnsi="Comic Sans MS"/>
        <w:b/>
        <w:color w:val="A6A6A6"/>
        <w:sz w:val="22"/>
        <w:szCs w:val="22"/>
      </w:rPr>
      <w:t>Email: clerk@desfordparishcouncil.co.uk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01378"/>
  </w:hdrShapeDefaults>
  <w:footnotePr>
    <w:footnote w:id="0"/>
    <w:footnote w:id="1"/>
  </w:footnotePr>
  <w:endnotePr>
    <w:endnote w:id="0"/>
    <w:endnote w:id="1"/>
  </w:endnotePr>
  <w:compat/>
  <w:rsids>
    <w:rsidRoot w:val="0071627B"/>
    <w:rsid w:val="00005452"/>
    <w:rsid w:val="00006DA2"/>
    <w:rsid w:val="000257F0"/>
    <w:rsid w:val="00052AC6"/>
    <w:rsid w:val="00056155"/>
    <w:rsid w:val="00060F9B"/>
    <w:rsid w:val="000778B4"/>
    <w:rsid w:val="00094458"/>
    <w:rsid w:val="00095CAE"/>
    <w:rsid w:val="000D5F58"/>
    <w:rsid w:val="000E1FCB"/>
    <w:rsid w:val="000E7767"/>
    <w:rsid w:val="000F44C6"/>
    <w:rsid w:val="000F700F"/>
    <w:rsid w:val="000F74E3"/>
    <w:rsid w:val="00114470"/>
    <w:rsid w:val="00150787"/>
    <w:rsid w:val="00171071"/>
    <w:rsid w:val="00172F36"/>
    <w:rsid w:val="00173559"/>
    <w:rsid w:val="00181BE2"/>
    <w:rsid w:val="00194D12"/>
    <w:rsid w:val="00197C8F"/>
    <w:rsid w:val="001A3339"/>
    <w:rsid w:val="001A4EAF"/>
    <w:rsid w:val="001B362F"/>
    <w:rsid w:val="001B3C51"/>
    <w:rsid w:val="001B7403"/>
    <w:rsid w:val="001D4EBF"/>
    <w:rsid w:val="001D6A72"/>
    <w:rsid w:val="001E3C43"/>
    <w:rsid w:val="001F5746"/>
    <w:rsid w:val="002026FA"/>
    <w:rsid w:val="002113F4"/>
    <w:rsid w:val="0022190E"/>
    <w:rsid w:val="002244D5"/>
    <w:rsid w:val="00230EDD"/>
    <w:rsid w:val="00245C98"/>
    <w:rsid w:val="00250A50"/>
    <w:rsid w:val="002576DE"/>
    <w:rsid w:val="002633AE"/>
    <w:rsid w:val="00275FAC"/>
    <w:rsid w:val="00295C78"/>
    <w:rsid w:val="002C2BFC"/>
    <w:rsid w:val="002C4362"/>
    <w:rsid w:val="002D5BAE"/>
    <w:rsid w:val="002F68D7"/>
    <w:rsid w:val="00304BBD"/>
    <w:rsid w:val="00304D13"/>
    <w:rsid w:val="00322D3B"/>
    <w:rsid w:val="00336140"/>
    <w:rsid w:val="0034028F"/>
    <w:rsid w:val="00342D03"/>
    <w:rsid w:val="00380641"/>
    <w:rsid w:val="003A3107"/>
    <w:rsid w:val="003B05A4"/>
    <w:rsid w:val="003C6EB3"/>
    <w:rsid w:val="003E725A"/>
    <w:rsid w:val="003E747D"/>
    <w:rsid w:val="004012F1"/>
    <w:rsid w:val="00420C15"/>
    <w:rsid w:val="00442807"/>
    <w:rsid w:val="00450E25"/>
    <w:rsid w:val="0047418B"/>
    <w:rsid w:val="00490EC2"/>
    <w:rsid w:val="004939EF"/>
    <w:rsid w:val="00493B4D"/>
    <w:rsid w:val="004A6F92"/>
    <w:rsid w:val="004E5990"/>
    <w:rsid w:val="004F30A9"/>
    <w:rsid w:val="005014EC"/>
    <w:rsid w:val="00502A2C"/>
    <w:rsid w:val="005275F6"/>
    <w:rsid w:val="005559D4"/>
    <w:rsid w:val="005628AE"/>
    <w:rsid w:val="005810B9"/>
    <w:rsid w:val="005C2FD5"/>
    <w:rsid w:val="005D2C26"/>
    <w:rsid w:val="005F4705"/>
    <w:rsid w:val="005F56B6"/>
    <w:rsid w:val="00605C78"/>
    <w:rsid w:val="006250F5"/>
    <w:rsid w:val="00633886"/>
    <w:rsid w:val="00636B2F"/>
    <w:rsid w:val="00654991"/>
    <w:rsid w:val="00661F17"/>
    <w:rsid w:val="00674C22"/>
    <w:rsid w:val="006846A0"/>
    <w:rsid w:val="006A27CB"/>
    <w:rsid w:val="006C409C"/>
    <w:rsid w:val="006D0F03"/>
    <w:rsid w:val="006D7011"/>
    <w:rsid w:val="007115D2"/>
    <w:rsid w:val="0071627B"/>
    <w:rsid w:val="00732597"/>
    <w:rsid w:val="00775169"/>
    <w:rsid w:val="0079461B"/>
    <w:rsid w:val="007E0C43"/>
    <w:rsid w:val="0080088A"/>
    <w:rsid w:val="00800B2D"/>
    <w:rsid w:val="00803457"/>
    <w:rsid w:val="008077F3"/>
    <w:rsid w:val="008118FF"/>
    <w:rsid w:val="00816F4E"/>
    <w:rsid w:val="00825DE5"/>
    <w:rsid w:val="008369A3"/>
    <w:rsid w:val="00840C90"/>
    <w:rsid w:val="00842DA4"/>
    <w:rsid w:val="00850ADA"/>
    <w:rsid w:val="00855174"/>
    <w:rsid w:val="00856947"/>
    <w:rsid w:val="00876E05"/>
    <w:rsid w:val="0088496F"/>
    <w:rsid w:val="0089082C"/>
    <w:rsid w:val="008A2557"/>
    <w:rsid w:val="008A3071"/>
    <w:rsid w:val="008C0DDB"/>
    <w:rsid w:val="008C425B"/>
    <w:rsid w:val="008D25BC"/>
    <w:rsid w:val="008E261B"/>
    <w:rsid w:val="008E29B3"/>
    <w:rsid w:val="008F5804"/>
    <w:rsid w:val="00936FF8"/>
    <w:rsid w:val="00943A42"/>
    <w:rsid w:val="00950B82"/>
    <w:rsid w:val="00956CD8"/>
    <w:rsid w:val="00961035"/>
    <w:rsid w:val="00962E53"/>
    <w:rsid w:val="009630D4"/>
    <w:rsid w:val="0096356A"/>
    <w:rsid w:val="00973F17"/>
    <w:rsid w:val="00986814"/>
    <w:rsid w:val="009A7E56"/>
    <w:rsid w:val="009B4DB6"/>
    <w:rsid w:val="009B668A"/>
    <w:rsid w:val="009D46C2"/>
    <w:rsid w:val="009F0DCC"/>
    <w:rsid w:val="009F1756"/>
    <w:rsid w:val="00A33607"/>
    <w:rsid w:val="00A37B91"/>
    <w:rsid w:val="00A42D77"/>
    <w:rsid w:val="00A47AA6"/>
    <w:rsid w:val="00A75596"/>
    <w:rsid w:val="00A86AC1"/>
    <w:rsid w:val="00A9446A"/>
    <w:rsid w:val="00AA5293"/>
    <w:rsid w:val="00AA75EC"/>
    <w:rsid w:val="00AB2156"/>
    <w:rsid w:val="00AB3EEE"/>
    <w:rsid w:val="00AB5B98"/>
    <w:rsid w:val="00AE2C3E"/>
    <w:rsid w:val="00AF44EB"/>
    <w:rsid w:val="00B111C0"/>
    <w:rsid w:val="00B229BC"/>
    <w:rsid w:val="00B3177E"/>
    <w:rsid w:val="00B375EE"/>
    <w:rsid w:val="00B37CA8"/>
    <w:rsid w:val="00B44F3B"/>
    <w:rsid w:val="00B507B9"/>
    <w:rsid w:val="00B7620E"/>
    <w:rsid w:val="00B8405D"/>
    <w:rsid w:val="00B87532"/>
    <w:rsid w:val="00BA43CB"/>
    <w:rsid w:val="00BB67CC"/>
    <w:rsid w:val="00BD41DF"/>
    <w:rsid w:val="00BF6340"/>
    <w:rsid w:val="00BF7590"/>
    <w:rsid w:val="00C24261"/>
    <w:rsid w:val="00C248F1"/>
    <w:rsid w:val="00C24BF3"/>
    <w:rsid w:val="00C45CDF"/>
    <w:rsid w:val="00C50C23"/>
    <w:rsid w:val="00C55394"/>
    <w:rsid w:val="00C63532"/>
    <w:rsid w:val="00C67DD9"/>
    <w:rsid w:val="00C76E69"/>
    <w:rsid w:val="00C85DC0"/>
    <w:rsid w:val="00C95C2A"/>
    <w:rsid w:val="00CA74A7"/>
    <w:rsid w:val="00CC50E5"/>
    <w:rsid w:val="00CC7378"/>
    <w:rsid w:val="00CD2A21"/>
    <w:rsid w:val="00CE06C3"/>
    <w:rsid w:val="00CE169D"/>
    <w:rsid w:val="00D10848"/>
    <w:rsid w:val="00D552A2"/>
    <w:rsid w:val="00D61F3E"/>
    <w:rsid w:val="00D91A4D"/>
    <w:rsid w:val="00DA4A2E"/>
    <w:rsid w:val="00DB1C3F"/>
    <w:rsid w:val="00DE160D"/>
    <w:rsid w:val="00DE47C5"/>
    <w:rsid w:val="00E34D7D"/>
    <w:rsid w:val="00E37F73"/>
    <w:rsid w:val="00E40BEB"/>
    <w:rsid w:val="00E56181"/>
    <w:rsid w:val="00E6060D"/>
    <w:rsid w:val="00E64CD5"/>
    <w:rsid w:val="00E704FC"/>
    <w:rsid w:val="00E92986"/>
    <w:rsid w:val="00E967D9"/>
    <w:rsid w:val="00ED27AE"/>
    <w:rsid w:val="00EE08D6"/>
    <w:rsid w:val="00EE248C"/>
    <w:rsid w:val="00EE37DE"/>
    <w:rsid w:val="00EF1396"/>
    <w:rsid w:val="00F0624F"/>
    <w:rsid w:val="00F06AB5"/>
    <w:rsid w:val="00F50BF7"/>
    <w:rsid w:val="00F6596E"/>
    <w:rsid w:val="00F74580"/>
    <w:rsid w:val="00F822C1"/>
    <w:rsid w:val="00F90C0F"/>
    <w:rsid w:val="00F95503"/>
    <w:rsid w:val="00FE2165"/>
    <w:rsid w:val="00FF78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1627B"/>
    <w:pPr>
      <w:jc w:val="center"/>
    </w:pPr>
    <w:rPr>
      <w:rFonts w:ascii="Comic Sans MS" w:hAnsi="Comic Sans MS"/>
    </w:rPr>
  </w:style>
  <w:style w:type="character" w:styleId="Hyperlink">
    <w:name w:val="Hyperlink"/>
    <w:basedOn w:val="DefaultParagraphFont"/>
    <w:rsid w:val="0071627B"/>
    <w:rPr>
      <w:color w:val="0000FF"/>
      <w:u w:val="single"/>
    </w:rPr>
  </w:style>
  <w:style w:type="paragraph" w:styleId="Header">
    <w:name w:val="header"/>
    <w:basedOn w:val="Normal"/>
    <w:link w:val="HeaderChar"/>
    <w:rsid w:val="00AA5293"/>
    <w:pPr>
      <w:tabs>
        <w:tab w:val="center" w:pos="4153"/>
        <w:tab w:val="right" w:pos="8306"/>
      </w:tabs>
    </w:pPr>
  </w:style>
  <w:style w:type="paragraph" w:styleId="Footer">
    <w:name w:val="footer"/>
    <w:basedOn w:val="Normal"/>
    <w:rsid w:val="00AA5293"/>
    <w:pPr>
      <w:tabs>
        <w:tab w:val="center" w:pos="4153"/>
        <w:tab w:val="right" w:pos="8306"/>
      </w:tabs>
    </w:pPr>
  </w:style>
  <w:style w:type="paragraph" w:styleId="BalloonText">
    <w:name w:val="Balloon Text"/>
    <w:basedOn w:val="Normal"/>
    <w:semiHidden/>
    <w:rsid w:val="00D61F3E"/>
    <w:rPr>
      <w:rFonts w:ascii="Tahoma" w:hAnsi="Tahoma" w:cs="Tahoma"/>
      <w:sz w:val="16"/>
      <w:szCs w:val="16"/>
    </w:rPr>
  </w:style>
  <w:style w:type="character" w:customStyle="1" w:styleId="HeaderChar">
    <w:name w:val="Header Char"/>
    <w:basedOn w:val="DefaultParagraphFont"/>
    <w:link w:val="Header"/>
    <w:rsid w:val="00F06AB5"/>
    <w:rPr>
      <w:sz w:val="24"/>
      <w:szCs w:val="24"/>
    </w:rPr>
  </w:style>
  <w:style w:type="character" w:customStyle="1" w:styleId="InternetLink">
    <w:name w:val="Internet Link"/>
    <w:rsid w:val="005014EC"/>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fordvision.co.uk/" TargetMode="External"/><Relationship Id="rId3" Type="http://schemas.openxmlformats.org/officeDocument/2006/relationships/settings" Target="settings.xml"/><Relationship Id="rId7" Type="http://schemas.openxmlformats.org/officeDocument/2006/relationships/hyperlink" Target="http://www.desfordparishcounci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8375-D6C4-40FC-BDD1-F4062E4B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DESFORD PARISH COUNCIL</vt:lpstr>
    </vt:vector>
  </TitlesOfParts>
  <Company>HP</Company>
  <LinksUpToDate>false</LinksUpToDate>
  <CharactersWithSpaces>1748</CharactersWithSpaces>
  <SharedDoc>false</SharedDoc>
  <HLinks>
    <vt:vector size="6" baseType="variant">
      <vt:variant>
        <vt:i4>4980812</vt:i4>
      </vt:variant>
      <vt:variant>
        <vt:i4>0</vt:i4>
      </vt:variant>
      <vt:variant>
        <vt:i4>0</vt:i4>
      </vt:variant>
      <vt:variant>
        <vt:i4>5</vt:i4>
      </vt:variant>
      <vt:variant>
        <vt:lpwstr>http://www.leicestershireparishcouncils.org/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DESFORD PARISH COUNCIL</dc:title>
  <dc:creator>Desford Parish</dc:creator>
  <cp:lastModifiedBy>Colin</cp:lastModifiedBy>
  <cp:revision>2</cp:revision>
  <cp:lastPrinted>2018-05-09T07:04:00Z</cp:lastPrinted>
  <dcterms:created xsi:type="dcterms:W3CDTF">2019-04-10T10:07:00Z</dcterms:created>
  <dcterms:modified xsi:type="dcterms:W3CDTF">2019-04-10T10:07:00Z</dcterms:modified>
</cp:coreProperties>
</file>